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Autospacing="0" w:before="0" w:afterAutospacing="0" w:after="0"/>
        <w:ind w:firstLine="567"/>
        <w:jc w:val="end"/>
        <w:rPr>
          <w:rFonts w:ascii="PT Astra Serif" w:hAnsi="PT Astra Serif"/>
          <w:color w:val="000000"/>
          <w:sz w:val="24"/>
          <w:szCs w:val="24"/>
          <w:lang w:val="ru-RU"/>
        </w:rPr>
      </w:pPr>
      <w:r>
        <w:rPr>
          <w:rFonts w:ascii="PT Astra Serif" w:hAnsi="PT Astra Serif"/>
          <w:color w:val="000000"/>
          <w:sz w:val="24"/>
          <w:szCs w:val="24"/>
          <w:lang w:val="ru-RU"/>
        </w:rPr>
        <w:t xml:space="preserve">Приложение 3 </w:t>
      </w:r>
    </w:p>
    <w:p>
      <w:pPr>
        <w:pStyle w:val="Normal"/>
        <w:spacing w:beforeAutospacing="0" w:before="0" w:afterAutospacing="0" w:after="0"/>
        <w:ind w:firstLine="567"/>
        <w:jc w:val="end"/>
        <w:rPr>
          <w:rFonts w:ascii="PT Astra Serif" w:hAnsi="PT Astra Serif"/>
          <w:color w:val="000000"/>
          <w:sz w:val="24"/>
          <w:szCs w:val="24"/>
          <w:lang w:val="ru-RU"/>
        </w:rPr>
      </w:pPr>
      <w:r>
        <w:rPr>
          <w:rFonts w:ascii="PT Astra Serif" w:hAnsi="PT Astra Serif"/>
          <w:color w:val="000000"/>
          <w:sz w:val="24"/>
          <w:szCs w:val="24"/>
          <w:lang w:val="ru-RU"/>
        </w:rPr>
        <w:t>к извещению об осуществлении закупки</w:t>
      </w:r>
    </w:p>
    <w:p>
      <w:pPr>
        <w:pStyle w:val="Normal"/>
        <w:spacing w:beforeAutospacing="0" w:before="0" w:afterAutospacing="0" w:after="0"/>
        <w:ind w:firstLine="567"/>
        <w:jc w:val="end"/>
        <w:rPr>
          <w:rFonts w:ascii="PT Astra Serif" w:hAnsi="PT Astra Serif"/>
          <w:color w:val="000000"/>
          <w:sz w:val="24"/>
          <w:szCs w:val="24"/>
          <w:lang w:val="ru-RU"/>
        </w:rPr>
      </w:pPr>
      <w:r>
        <w:rPr>
          <w:rFonts w:ascii="PT Astra Serif" w:hAnsi="PT Astra Serif"/>
          <w:color w:val="000000"/>
          <w:sz w:val="24"/>
          <w:szCs w:val="24"/>
          <w:lang w:val="ru-RU"/>
        </w:rPr>
      </w:r>
    </w:p>
    <w:p>
      <w:pPr>
        <w:pStyle w:val="Normal"/>
        <w:spacing w:beforeAutospacing="0" w:before="0" w:afterAutospacing="0" w:after="0"/>
        <w:ind w:firstLine="567"/>
        <w:jc w:val="center"/>
        <w:rPr>
          <w:rFonts w:ascii="PT Astra Serif" w:hAnsi="PT Astra Serif"/>
          <w:b/>
          <w:bCs/>
          <w:color w:val="000000"/>
          <w:sz w:val="24"/>
          <w:szCs w:val="24"/>
          <w:lang w:val="ru-RU"/>
        </w:rPr>
      </w:pPr>
      <w:r>
        <w:rPr>
          <w:rFonts w:ascii="PT Astra Serif" w:hAnsi="PT Astra Serif"/>
          <w:b/>
          <w:bCs/>
          <w:color w:val="000000"/>
          <w:sz w:val="24"/>
          <w:szCs w:val="24"/>
          <w:lang w:val="ru-RU"/>
        </w:rPr>
        <w:t xml:space="preserve">Требования к содержанию, составу заявки на участие в закупке в соответствии </w:t>
      </w:r>
    </w:p>
    <w:p>
      <w:pPr>
        <w:pStyle w:val="Normal"/>
        <w:spacing w:beforeAutospacing="0" w:before="0" w:afterAutospacing="0" w:after="0"/>
        <w:ind w:firstLine="567"/>
        <w:jc w:val="center"/>
        <w:rPr>
          <w:rFonts w:ascii="PT Astra Serif" w:hAnsi="PT Astra Serif"/>
          <w:b/>
          <w:bCs/>
          <w:color w:val="000000"/>
          <w:sz w:val="24"/>
          <w:szCs w:val="24"/>
          <w:lang w:val="ru-RU"/>
        </w:rPr>
      </w:pPr>
      <w:r>
        <w:rPr>
          <w:rFonts w:ascii="PT Astra Serif" w:hAnsi="PT Astra Serif"/>
          <w:b/>
          <w:bCs/>
          <w:color w:val="000000"/>
          <w:sz w:val="24"/>
          <w:szCs w:val="24"/>
          <w:lang w:val="ru-RU"/>
        </w:rPr>
        <w:t>с Законом о контрактной системе и инструкция по её заполнению</w:t>
      </w:r>
    </w:p>
    <w:p>
      <w:pPr>
        <w:pStyle w:val="Normal"/>
        <w:spacing w:beforeAutospacing="0" w:before="0" w:afterAutospacing="0" w:after="0"/>
        <w:ind w:firstLine="567"/>
        <w:jc w:val="center"/>
        <w:rPr>
          <w:rFonts w:ascii="PT Astra Serif" w:hAnsi="PT Astra Serif"/>
          <w:color w:val="000000"/>
          <w:sz w:val="24"/>
          <w:szCs w:val="24"/>
          <w:lang w:val="ru-RU"/>
        </w:rPr>
      </w:pPr>
      <w:r>
        <w:rPr>
          <w:rFonts w:ascii="PT Astra Serif" w:hAnsi="PT Astra Serif"/>
          <w:color w:val="000000"/>
          <w:sz w:val="24"/>
          <w:szCs w:val="24"/>
          <w:lang w:val="ru-RU"/>
        </w:rPr>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путём направления такой заявки в соответствии с Законом о контрактной системе оператору электронной площадки;</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Законом о контрактной системе срока подачи заявок на участие в закупке.</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Для участия в конкурентном способе заявка на участие в закупке, если иное не предусмотрено Законом о контрактной системе, должна содержать:</w:t>
      </w:r>
    </w:p>
    <w:p>
      <w:pPr>
        <w:pStyle w:val="Normal"/>
        <w:spacing w:beforeAutospacing="0" w:before="0" w:afterAutospacing="0" w:after="0"/>
        <w:ind w:firstLine="567"/>
        <w:jc w:val="both"/>
        <w:rPr>
          <w:rFonts w:ascii="PT Astra Serif" w:hAnsi="PT Astra Serif"/>
          <w:b/>
          <w:color w:val="000000"/>
          <w:sz w:val="24"/>
          <w:szCs w:val="24"/>
          <w:lang w:val="ru-RU"/>
        </w:rPr>
      </w:pPr>
      <w:r>
        <w:rPr>
          <w:rFonts w:ascii="PT Astra Serif" w:hAnsi="PT Astra Serif"/>
          <w:b/>
          <w:color w:val="000000"/>
          <w:sz w:val="24"/>
          <w:szCs w:val="24"/>
          <w:lang w:val="ru-RU"/>
        </w:rPr>
        <w:t>1) информацию и документы об участнике закупки:</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а) полное и сокращённое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паёв)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учёт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r>
        <w:rPr>
          <w:rFonts w:ascii="PT Astra Serif" w:hAnsi="PT Astra Serif"/>
          <w:b/>
          <w:color w:val="000099"/>
          <w:sz w:val="24"/>
          <w:szCs w:val="24"/>
          <w:lang w:val="ru-RU"/>
        </w:rPr>
        <w:t xml:space="preserve"> не требуется;</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к) декларация о принадлежности участника закупки к организации инвалидов, предусмотренной частью 2 статьи 29 Закона о контрактной системе (если участник закупки является такой организацией):</w:t>
      </w:r>
      <w:r>
        <w:rPr>
          <w:rFonts w:ascii="PT Astra Serif" w:hAnsi="PT Astra Serif"/>
          <w:b/>
          <w:color w:val="000099"/>
          <w:sz w:val="24"/>
          <w:szCs w:val="24"/>
          <w:lang w:val="ru-RU"/>
        </w:rPr>
        <w:t xml:space="preserve"> не требуется;</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 xml:space="preserve">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Закона о контрактной системе: </w:t>
      </w:r>
      <w:r>
        <w:rPr>
          <w:rFonts w:ascii="PT Astra Serif" w:hAnsi="PT Astra Serif"/>
          <w:b/>
          <w:color w:val="000099"/>
          <w:sz w:val="24"/>
          <w:szCs w:val="24"/>
          <w:lang w:val="ru-RU"/>
        </w:rPr>
        <w:t>требуется;</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pPr>
        <w:pStyle w:val="Normal"/>
        <w:spacing w:beforeAutospacing="0" w:before="0" w:afterAutospacing="0" w:after="0"/>
        <w:ind w:firstLine="567"/>
        <w:jc w:val="both"/>
        <w:rPr>
          <w:rFonts w:ascii="PT Astra Serif" w:hAnsi="PT Astra Serif"/>
          <w:color w:val="000099"/>
          <w:sz w:val="24"/>
          <w:szCs w:val="24"/>
          <w:lang w:val="ru-RU"/>
        </w:rPr>
      </w:pPr>
      <w:r>
        <w:rPr>
          <w:rFonts w:ascii="PT Astra Serif" w:hAnsi="PT Astra Serif"/>
          <w:color w:val="000000"/>
          <w:sz w:val="24"/>
          <w:szCs w:val="24"/>
          <w:lang w:val="ru-RU"/>
        </w:rPr>
        <w:t xml:space="preserve">н) документы, подтверждающие соответствие участника закупки требованиям, установленным пунктом 1 части 1 статьи 31 Закона о контрактной системе, документы, подтверждающие соответствие участника закупки дополнительным требованиям, установленным в соответствии с частями 2 и 2.1 (при наличии таких требований) статьи 31 Закона о контрактной системе, если иное не предусмотрено Законом о контрактной системе: </w:t>
      </w:r>
      <w:r>
        <w:rPr>
          <w:rFonts w:ascii="PT Astra Serif" w:hAnsi="PT Astra Serif"/>
          <w:b/>
          <w:color w:val="000099"/>
          <w:sz w:val="24"/>
          <w:szCs w:val="24"/>
          <w:lang w:val="ru-RU"/>
        </w:rPr>
        <w:t>не требуется</w:t>
      </w:r>
      <w:bookmarkStart w:id="0" w:name="_GoBack"/>
      <w:bookmarkEnd w:id="0"/>
      <w:r>
        <w:rPr>
          <w:rFonts w:ascii="PT Astra Serif" w:hAnsi="PT Astra Serif"/>
          <w:color w:val="000099"/>
          <w:sz w:val="24"/>
          <w:szCs w:val="24"/>
          <w:lang w:val="ru-RU"/>
        </w:rPr>
        <w:t>;</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о) декларация о соответствии участника закупки требованиям, установленным пунктами 3 - 5, 7 - 11 части 1 статьи 31 Закона о контрактной системе;</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(её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Информация и документы, предусмотренные подпунктами "а" - "л" настоящего документа, не включаются участником закупки в заявку на участие в закупке. Такие информация и документы в случаях, предусмотренных Законом о контрактной системе, направляются заказчику оператором электронной площадки, оператором специализированной электронной площадки путём информационного взаимодействия с единой информационной системой;</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Документы, подтверждающие соответствие участника закупки дополнительным требованиям, установленным в соответствии с частью 2 или 2.1 статьи 31 Закона о контрактной системе, и предусмотренные подпунктом "н" пункта 1 части 1 настоящего документа, не включаются участником закупки в заявку на участие в закупке. Такие документы в случаях, предусмотренных Законом о контрактной системе, направляются заказчику оператором электронной площадки из реестра участников закупок, аккредитованных на электронной площадке;</w:t>
      </w:r>
    </w:p>
    <w:p>
      <w:pPr>
        <w:pStyle w:val="Normal"/>
        <w:spacing w:beforeAutospacing="0" w:before="0" w:afterAutospacing="0" w:after="0"/>
        <w:ind w:firstLine="567"/>
        <w:jc w:val="both"/>
        <w:rPr>
          <w:rFonts w:ascii="PT Astra Serif" w:hAnsi="PT Astra Serif"/>
          <w:b/>
          <w:color w:val="000000"/>
          <w:sz w:val="24"/>
          <w:szCs w:val="24"/>
          <w:lang w:val="ru-RU"/>
        </w:rPr>
      </w:pPr>
      <w:r>
        <w:rPr>
          <w:rFonts w:ascii="PT Astra Serif" w:hAnsi="PT Astra Serif"/>
          <w:b/>
          <w:color w:val="000000"/>
          <w:sz w:val="24"/>
          <w:szCs w:val="24"/>
          <w:lang w:val="ru-RU"/>
        </w:rPr>
        <w:t>2) предложение участника закупки в отношении объекта закупки:</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 xml:space="preserve">а) характеристики предлагаемого участником закупки товара, соответствующие показателям, установленным в </w:t>
      </w:r>
      <w:r>
        <w:rPr>
          <w:rFonts w:ascii="PT Astra Serif" w:hAnsi="PT Astra Serif"/>
          <w:b/>
          <w:color w:val="000000"/>
          <w:sz w:val="24"/>
          <w:szCs w:val="24"/>
          <w:lang w:val="ru-RU"/>
        </w:rPr>
        <w:t>Приложении 1 «Описание объекта закупки»</w:t>
      </w:r>
      <w:r>
        <w:rPr>
          <w:rFonts w:ascii="PT Astra Serif" w:hAnsi="PT Astra Serif"/>
          <w:color w:val="000000"/>
          <w:sz w:val="24"/>
          <w:szCs w:val="24"/>
          <w:lang w:val="ru-RU"/>
        </w:rPr>
        <w:t xml:space="preserve"> к извещению о проведении закупки, товарный знак (при наличии у товара товарного знака);</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б) наименование страны происхождения товара в соответствии с общероссийским классификатором, используемым для идентификации стран мира.</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 xml:space="preserve">Информация о товаре, предусмотренная подпунктами «а» и «б»,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Информация, предусмотренная подпунктами «а»,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Информация, предусмотренная подпунктами "а" не включается в заявку на участие в закупке в случае включения заказчиком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Законом о контрактной системе предусмотрена документация о закупке): не требуется;</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г) иные информация и документы, в том числе эскиз, рисунок, чертёж,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p>
      <w:pPr>
        <w:pStyle w:val="Normal"/>
        <w:spacing w:beforeAutospacing="0" w:before="0" w:afterAutospacing="0" w:after="0"/>
        <w:ind w:firstLine="567"/>
        <w:jc w:val="both"/>
        <w:rPr>
          <w:rFonts w:ascii="PT Astra Serif" w:hAnsi="PT Astra Serif"/>
          <w:b/>
          <w:color w:val="000099"/>
          <w:sz w:val="24"/>
          <w:szCs w:val="24"/>
          <w:lang w:val="ru-RU"/>
        </w:rPr>
      </w:pPr>
      <w:r>
        <w:rPr>
          <w:rFonts w:ascii="PT Astra Serif" w:hAnsi="PT Astra Serif"/>
          <w:color w:val="000000"/>
          <w:sz w:val="24"/>
          <w:szCs w:val="24"/>
          <w:lang w:val="ru-RU"/>
        </w:rPr>
        <w:t xml:space="preserve">3) информация и документы, определённые в соответствии с пунктом 2 части 2 статьи 14 Закона о контрактной системе (в случае, если в извещении об осуществлении закупки, документации о закупке (если Законом о контрактной системе предусмотрена документация о закупке) установлены предусмотренные указанной статьёй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 </w:t>
      </w:r>
      <w:r>
        <w:rPr>
          <w:rFonts w:ascii="PT Astra Serif" w:hAnsi="PT Astra Serif"/>
          <w:b/>
          <w:color w:val="000099"/>
          <w:sz w:val="24"/>
          <w:szCs w:val="24"/>
          <w:lang w:val="ru-RU"/>
        </w:rPr>
        <w:t>требуется:</w:t>
      </w:r>
    </w:p>
    <w:p>
      <w:pPr>
        <w:pStyle w:val="Normal"/>
        <w:spacing w:beforeAutospacing="0" w:before="0" w:afterAutospacing="0" w:after="0"/>
        <w:ind w:firstLine="567"/>
        <w:jc w:val="both"/>
        <w:rPr>
          <w:rFonts w:ascii="PT Astra Serif" w:hAnsi="PT Astra Serif"/>
          <w:color w:val="000099"/>
          <w:sz w:val="24"/>
          <w:szCs w:val="24"/>
          <w:lang w:val="ru-RU"/>
        </w:rPr>
      </w:pPr>
      <w:r>
        <w:rPr>
          <w:rFonts w:ascii="PT Astra Serif" w:hAnsi="PT Astra Serif"/>
          <w:color w:val="000099"/>
          <w:sz w:val="24"/>
          <w:szCs w:val="24"/>
          <w:lang w:val="ru-RU"/>
        </w:rPr>
        <w:t xml:space="preserve">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Pr>
          <w:rFonts w:ascii="PT Astra Serif" w:hAnsi="PT Astra Serif"/>
          <w:color w:val="000099"/>
          <w:sz w:val="24"/>
          <w:szCs w:val="24"/>
          <w:lang w:val="ru-RU"/>
        </w:rPr>
        <w:t>установлено ограничение. У</w:t>
      </w:r>
      <w:r>
        <w:rPr>
          <w:rFonts w:ascii="PT Astra Serif" w:hAnsi="PT Astra Serif"/>
          <w:color w:val="000099"/>
          <w:sz w:val="24"/>
          <w:szCs w:val="24"/>
          <w:lang w:val="ru-RU"/>
        </w:rPr>
        <w:t>частник закупки указывает в составе заявки на участие в закупке:</w:t>
      </w:r>
    </w:p>
    <w:p>
      <w:pPr>
        <w:pStyle w:val="Normal"/>
        <w:spacing w:beforeAutospacing="0" w:before="0" w:afterAutospacing="0" w:after="0"/>
        <w:ind w:firstLine="567"/>
        <w:jc w:val="both"/>
        <w:rPr>
          <w:rFonts w:ascii="PT Astra Serif" w:hAnsi="PT Astra Serif"/>
          <w:color w:val="000099"/>
          <w:sz w:val="24"/>
          <w:szCs w:val="24"/>
          <w:lang w:val="ru-RU"/>
        </w:rPr>
      </w:pPr>
      <w:r>
        <w:rPr>
          <w:rFonts w:ascii="PT Astra Serif" w:hAnsi="PT Astra Serif"/>
          <w:color w:val="000099"/>
          <w:sz w:val="24"/>
          <w:szCs w:val="24"/>
          <w:lang w:val="ru-RU"/>
        </w:rPr>
        <w:t>- номер реестровой записи из реестра российской промышленной продукции, предусмотренного статьёй 17.1 Федерального закона «О промышленной политике в Российской Федерации», содержащей в том числе:</w:t>
      </w:r>
    </w:p>
    <w:p>
      <w:pPr>
        <w:pStyle w:val="Normal"/>
        <w:spacing w:beforeAutospacing="0" w:before="0" w:afterAutospacing="0" w:after="0"/>
        <w:ind w:firstLine="567"/>
        <w:jc w:val="both"/>
        <w:rPr>
          <w:rFonts w:ascii="PT Astra Serif" w:hAnsi="PT Astra Serif"/>
          <w:color w:val="000099"/>
          <w:sz w:val="24"/>
          <w:szCs w:val="24"/>
          <w:lang w:val="ru-RU"/>
        </w:rPr>
      </w:pPr>
      <w:r>
        <w:rPr>
          <w:rFonts w:ascii="PT Astra Serif" w:hAnsi="PT Astra Serif"/>
          <w:color w:val="000099"/>
          <w:sz w:val="24"/>
          <w:szCs w:val="24"/>
          <w:lang w:val="ru-RU"/>
        </w:rP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pPr>
        <w:pStyle w:val="Normal"/>
        <w:spacing w:beforeAutospacing="0" w:before="0" w:afterAutospacing="0" w:after="0"/>
        <w:ind w:firstLine="567"/>
        <w:jc w:val="both"/>
        <w:rPr>
          <w:rFonts w:ascii="PT Astra Serif" w:hAnsi="PT Astra Serif"/>
          <w:color w:val="000099"/>
          <w:sz w:val="24"/>
          <w:szCs w:val="24"/>
          <w:lang w:val="ru-RU"/>
        </w:rPr>
      </w:pPr>
      <w:r>
        <w:rPr>
          <w:rFonts w:ascii="PT Astra Serif" w:hAnsi="PT Astra Serif"/>
          <w:color w:val="000099"/>
          <w:sz w:val="24"/>
          <w:szCs w:val="24"/>
          <w:lang w:val="ru-RU"/>
        </w:rP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pPr>
        <w:pStyle w:val="Normal"/>
        <w:spacing w:beforeAutospacing="0" w:before="0" w:afterAutospacing="0" w:after="0"/>
        <w:ind w:firstLine="567"/>
        <w:jc w:val="both"/>
        <w:rPr>
          <w:rFonts w:ascii="PT Astra Serif" w:hAnsi="PT Astra Serif"/>
          <w:color w:val="000099"/>
          <w:sz w:val="24"/>
          <w:szCs w:val="24"/>
          <w:lang w:val="ru-RU"/>
        </w:rPr>
      </w:pPr>
      <w:r>
        <w:rPr>
          <w:rFonts w:ascii="PT Astra Serif" w:hAnsi="PT Astra Serif"/>
          <w:color w:val="000099"/>
          <w:sz w:val="24"/>
          <w:szCs w:val="24"/>
          <w:lang w:val="ru-RU"/>
        </w:rPr>
        <w:t xml:space="preserve">либо </w:t>
      </w:r>
    </w:p>
    <w:p>
      <w:pPr>
        <w:pStyle w:val="Normal"/>
        <w:spacing w:beforeAutospacing="0" w:before="0" w:afterAutospacing="0" w:after="0"/>
        <w:ind w:firstLine="567"/>
        <w:jc w:val="both"/>
        <w:rPr>
          <w:rFonts w:ascii="PT Astra Serif" w:hAnsi="PT Astra Serif"/>
          <w:color w:val="000099"/>
          <w:sz w:val="24"/>
          <w:szCs w:val="24"/>
          <w:lang w:val="ru-RU"/>
        </w:rPr>
      </w:pPr>
      <w:r>
        <w:rPr>
          <w:rFonts w:ascii="PT Astra Serif" w:hAnsi="PT Astra Serif"/>
          <w:color w:val="000099"/>
          <w:sz w:val="24"/>
          <w:szCs w:val="24"/>
          <w:lang w:val="ru-RU"/>
        </w:rPr>
        <w:t>-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pPr>
        <w:pStyle w:val="Normal"/>
        <w:spacing w:beforeAutospacing="0" w:before="0" w:afterAutospacing="0" w:after="0"/>
        <w:ind w:firstLine="567"/>
        <w:jc w:val="both"/>
        <w:rPr>
          <w:rFonts w:ascii="PT Astra Serif" w:hAnsi="PT Astra Serif"/>
          <w:color w:val="000099"/>
          <w:sz w:val="24"/>
          <w:szCs w:val="24"/>
          <w:lang w:val="ru-RU"/>
        </w:rPr>
      </w:pPr>
      <w:r>
        <w:rPr>
          <w:rFonts w:ascii="PT Astra Serif" w:hAnsi="PT Astra Serif"/>
          <w:color w:val="000099"/>
          <w:sz w:val="24"/>
          <w:szCs w:val="24"/>
          <w:lang w:val="ru-RU"/>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 </w:t>
      </w:r>
    </w:p>
    <w:p>
      <w:pPr>
        <w:pStyle w:val="Normal"/>
        <w:spacing w:beforeAutospacing="0" w:before="0" w:afterAutospacing="0" w:after="0"/>
        <w:ind w:firstLine="567"/>
        <w:jc w:val="both"/>
        <w:rPr>
          <w:rFonts w:ascii="PT Astra Serif" w:hAnsi="PT Astra Serif"/>
          <w:b w:val="false"/>
          <w:bCs w:val="false"/>
          <w:color w:val="000099"/>
          <w:sz w:val="24"/>
          <w:szCs w:val="24"/>
          <w:lang w:val="ru-RU"/>
        </w:rPr>
      </w:pPr>
      <w:r>
        <w:rPr>
          <w:rFonts w:ascii="PT Astra Serif" w:hAnsi="PT Astra Serif"/>
          <w:b w:val="false"/>
          <w:bCs w:val="false"/>
          <w:color w:val="000099"/>
          <w:sz w:val="24"/>
          <w:szCs w:val="24"/>
          <w:lang w:val="ru-RU"/>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pPr>
        <w:pStyle w:val="Normal"/>
        <w:spacing w:beforeAutospacing="0" w:before="0" w:afterAutospacing="0" w:after="0"/>
        <w:ind w:firstLine="709" w:start="0"/>
        <w:jc w:val="both"/>
        <w:rPr>
          <w:rFonts w:ascii="PT Astra Serif" w:hAnsi="PT Astra Serif"/>
          <w:b w:val="false"/>
          <w:bCs w:val="false"/>
          <w:color w:val="auto"/>
          <w:sz w:val="24"/>
          <w:szCs w:val="24"/>
          <w:lang w:val="ru-RU"/>
        </w:rPr>
      </w:pPr>
      <w:r>
        <w:rPr>
          <w:rFonts w:ascii="PT Astra Serif" w:hAnsi="PT Astra Serif"/>
          <w:b w:val="false"/>
          <w:bCs w:val="false"/>
          <w:color w:val="auto"/>
          <w:sz w:val="24"/>
          <w:szCs w:val="24"/>
          <w:lang w:val="ru-RU"/>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pPr>
        <w:pStyle w:val="Normal"/>
        <w:spacing w:beforeAutospacing="0" w:before="0" w:afterAutospacing="0" w:after="0"/>
        <w:ind w:firstLine="567"/>
        <w:jc w:val="both"/>
        <w:rPr>
          <w:rFonts w:ascii="PT Astra Serif" w:hAnsi="PT Astra Serif"/>
          <w:color w:val="auto"/>
          <w:sz w:val="24"/>
          <w:szCs w:val="24"/>
          <w:lang w:val="ru-RU"/>
        </w:rPr>
      </w:pPr>
      <w:r>
        <w:rPr>
          <w:rFonts w:ascii="PT Astra Serif" w:hAnsi="PT Astra Serif"/>
          <w:color w:val="auto"/>
          <w:sz w:val="24"/>
          <w:szCs w:val="24"/>
          <w:lang w:val="ru-RU"/>
        </w:rPr>
      </w:r>
    </w:p>
    <w:p>
      <w:pPr>
        <w:pStyle w:val="Normal"/>
        <w:spacing w:beforeAutospacing="0" w:before="0" w:afterAutospacing="0" w:after="0"/>
        <w:jc w:val="center"/>
        <w:rPr>
          <w:rFonts w:ascii="PT Astra Serif" w:hAnsi="PT Astra Serif"/>
          <w:b/>
          <w:color w:val="000000"/>
          <w:sz w:val="24"/>
          <w:szCs w:val="24"/>
          <w:lang w:val="ru-RU"/>
        </w:rPr>
      </w:pPr>
      <w:r>
        <w:rPr>
          <w:rFonts w:ascii="PT Astra Serif" w:hAnsi="PT Astra Serif"/>
          <w:b/>
          <w:bCs/>
          <w:color w:val="000000"/>
          <w:sz w:val="24"/>
          <w:szCs w:val="24"/>
          <w:lang w:val="ru-RU"/>
        </w:rPr>
        <w:t>ИНСТРУКЦИЯ</w:t>
      </w:r>
      <w:r>
        <w:rPr>
          <w:rFonts w:ascii="PT Astra Serif" w:hAnsi="PT Astra Serif"/>
          <w:lang w:val="ru-RU"/>
        </w:rPr>
        <w:br/>
      </w:r>
      <w:r>
        <w:rPr>
          <w:rFonts w:ascii="PT Astra Serif" w:hAnsi="PT Astra Serif"/>
          <w:b/>
          <w:color w:val="000000"/>
          <w:sz w:val="24"/>
          <w:szCs w:val="24"/>
          <w:lang w:val="ru-RU"/>
        </w:rPr>
        <w:t>по заполнению заявки на участие в закупке</w:t>
      </w:r>
    </w:p>
    <w:p>
      <w:pPr>
        <w:pStyle w:val="Normal"/>
        <w:spacing w:beforeAutospacing="0" w:before="0" w:afterAutospacing="0" w:after="0"/>
        <w:ind w:firstLine="567"/>
        <w:jc w:val="center"/>
        <w:rPr>
          <w:rFonts w:ascii="PT Astra Serif" w:hAnsi="PT Astra Serif"/>
          <w:color w:val="000000"/>
          <w:sz w:val="24"/>
          <w:szCs w:val="24"/>
          <w:lang w:val="ru-RU"/>
        </w:rPr>
      </w:pPr>
      <w:r>
        <w:rPr>
          <w:rFonts w:ascii="PT Astra Serif" w:hAnsi="PT Astra Serif"/>
          <w:color w:val="000000"/>
          <w:sz w:val="24"/>
          <w:szCs w:val="24"/>
          <w:lang w:val="ru-RU"/>
        </w:rPr>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Участник закупки формирует предложение в отношении объекта закупки (в соответствии с п. 31 Дополнительных требований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(утв. постановлением Правительства РФ от 08.06.2018 №656)) с использованием электронной площадки - в структурированном виде (наименование страны происхождения товара, товарный знак (при наличии у товара товарного знака), а также характеристики предлагаемого участником закупки товара в части характеристик, содержащихся в извещении об осуществлении закупки).</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При подаче заявки участником закупки должны быть указаны характеристики предлагаемого товара, соответствующие показателям, установленным в «Описании объекта закупки».</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В случае, если Участник закупки в составе заявки дополнительно предоставил в виде отдельного файла сведения о наименовании страны происхождения товара, товарном знаке (при наличии у товара товарного знака), характеристиках предлагаемого товара, то при наличии противоречий между данными, содержащимися в заявке участника в структурированном виде, и данными, содержащимися в приложенных к заявке документах (файлах), приоритет имеет информация, содержащаяся в заявке в структурированном виде.</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Кроме предусмотренных «Инструкцией по заполнению характеристик в заявке» (далее – Инструкция) требований, указанных в описании объекта закупки, в том числе в структурированном виде, при формировании заявки участником закупки должны быть учтены следующие уточняющие положения:</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 xml:space="preserve">При подаче сведений участниками закупки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w:t>
      </w:r>
      <w:r>
        <w:rPr>
          <w:rFonts w:ascii="PT Astra Serif" w:hAnsi="PT Astra Serif"/>
          <w:b/>
          <w:color w:val="000000"/>
          <w:sz w:val="24"/>
          <w:szCs w:val="24"/>
          <w:lang w:val="ru-RU"/>
        </w:rPr>
        <w:t>Приложении 1 «Описание объекта закупки (Техническое задание)»</w:t>
      </w:r>
      <w:r>
        <w:rPr>
          <w:rFonts w:ascii="PT Astra Serif" w:hAnsi="PT Astra Serif"/>
          <w:color w:val="000000"/>
          <w:sz w:val="24"/>
          <w:szCs w:val="24"/>
          <w:lang w:val="ru-RU"/>
        </w:rPr>
        <w:t>.</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В случае, если в ГОСТе, ТУ, паспорте или других технических документах установлены одни допустимые значения показателей, а инструкция по заполнению заявки предписывает указать иные значения, показатели товаров в любом случае должны быть заполнены в строгом соответствии с настоящей инструкцией.</w:t>
      </w:r>
    </w:p>
    <w:p>
      <w:pPr>
        <w:pStyle w:val="Normal"/>
        <w:spacing w:beforeAutospacing="0" w:before="0" w:afterAutospacing="0" w:after="0"/>
        <w:ind w:firstLine="567"/>
        <w:jc w:val="center"/>
        <w:rPr>
          <w:rFonts w:ascii="PT Astra Serif" w:hAnsi="PT Astra Serif"/>
          <w:b/>
          <w:color w:val="000000"/>
          <w:sz w:val="24"/>
          <w:szCs w:val="24"/>
          <w:lang w:val="ru-RU"/>
        </w:rPr>
      </w:pPr>
      <w:r>
        <w:rPr>
          <w:rFonts w:ascii="PT Astra Serif" w:hAnsi="PT Astra Serif"/>
          <w:b/>
          <w:color w:val="000000"/>
          <w:sz w:val="24"/>
          <w:szCs w:val="24"/>
          <w:lang w:val="ru-RU"/>
        </w:rPr>
      </w:r>
    </w:p>
    <w:p>
      <w:pPr>
        <w:pStyle w:val="Normal"/>
        <w:spacing w:beforeAutospacing="0" w:before="0" w:afterAutospacing="0" w:after="0"/>
        <w:ind w:firstLine="567"/>
        <w:jc w:val="center"/>
        <w:rPr>
          <w:rFonts w:ascii="PT Astra Serif" w:hAnsi="PT Astra Serif"/>
          <w:b/>
          <w:color w:val="000000"/>
          <w:sz w:val="24"/>
          <w:szCs w:val="24"/>
          <w:lang w:val="ru-RU"/>
        </w:rPr>
      </w:pPr>
      <w:r>
        <w:rPr>
          <w:rFonts w:ascii="PT Astra Serif" w:hAnsi="PT Astra Serif"/>
          <w:b/>
          <w:color w:val="000000"/>
          <w:sz w:val="24"/>
          <w:szCs w:val="24"/>
          <w:lang w:val="ru-RU"/>
        </w:rPr>
        <w:t>Раздел I</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Инструкцией установлено «Участник закупки указывает в заявке конкретное значение характеристики».</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Если заказчиком в «Описании объекта закупки» при описании значения характеристики используются следующие знаки и слова, участником предоставляются значения, указанные ниже:</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«&gt;» - значение характеристики, превышающее указанное,</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 - значение равное или превышающее указанное;</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xml:space="preserve">- «&lt;» - значение характеристики менее указанного, </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 - значение равное или менее указанного;</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xml:space="preserve"> </w:t>
      </w:r>
      <w:r>
        <w:rPr>
          <w:rFonts w:eastAsia="Calibri" w:ascii="PT Astra Serif" w:hAnsi="PT Astra Serif"/>
          <w:sz w:val="24"/>
          <w:szCs w:val="24"/>
          <w:lang w:val="ru-RU"/>
        </w:rPr>
        <w:t>- «≥ и &lt;» - значение равное или превышающее левое значение и менее правого значения;</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«&gt; и ≤» - значение превышающее левое значение и равное или менее правого значения;</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«&gt; и &lt;» - значение превышающее левое значение и менее правого значения;</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 и ≤» - значение равное или превышающее левое значение и равное или менее правого значения.</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«не менее», «не ниже» - значение равное или превышающее указанное;</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«не более», «не выше» - значение равное или менее указанного;</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«менее», «ниже» - значение меньше указанного;</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«более», «выше», «свыше» - значение, превышающее указанное;</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«не менее и не более», «не менее, не более», «не менее не более», «не менее; не более», «не менее/не более» - конкретное значение в рамках значений верхней и нижней границы;</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xml:space="preserve">- «до» - значение меньше указанного, за исключением случаев, когда указанное значение сопровождается словом «включительно»; </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«от» - указанное значение или превышающее его;</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Если характеристика указана с использованием нескольких значений, требование знака применяются к каждому значению следующим после знака, до нового знака, описывающего значение характеристики (например: ≥ 5*10 – знак применяется к значению 5 и к значению 10).</w:t>
      </w:r>
    </w:p>
    <w:p>
      <w:pPr>
        <w:pStyle w:val="Normal"/>
        <w:spacing w:beforeAutospacing="0" w:before="0" w:afterAutospacing="0" w:after="0"/>
        <w:ind w:firstLine="567"/>
        <w:jc w:val="center"/>
        <w:rPr>
          <w:rFonts w:ascii="PT Astra Serif" w:hAnsi="PT Astra Serif"/>
          <w:b/>
          <w:color w:val="000000"/>
          <w:sz w:val="24"/>
          <w:szCs w:val="24"/>
          <w:lang w:val="ru-RU"/>
        </w:rPr>
      </w:pPr>
      <w:r>
        <w:rPr>
          <w:rFonts w:ascii="PT Astra Serif" w:hAnsi="PT Astra Serif"/>
          <w:b/>
          <w:color w:val="000000"/>
          <w:sz w:val="24"/>
          <w:szCs w:val="24"/>
          <w:lang w:val="ru-RU"/>
        </w:rPr>
      </w:r>
    </w:p>
    <w:p>
      <w:pPr>
        <w:pStyle w:val="Normal"/>
        <w:spacing w:beforeAutospacing="0" w:before="0" w:afterAutospacing="0" w:after="0"/>
        <w:ind w:firstLine="567"/>
        <w:jc w:val="center"/>
        <w:rPr>
          <w:rFonts w:ascii="PT Astra Serif" w:hAnsi="PT Astra Serif"/>
          <w:b/>
          <w:color w:val="000000"/>
          <w:sz w:val="24"/>
          <w:szCs w:val="24"/>
          <w:lang w:val="ru-RU"/>
        </w:rPr>
      </w:pPr>
      <w:r>
        <w:rPr>
          <w:rFonts w:ascii="PT Astra Serif" w:hAnsi="PT Astra Serif"/>
          <w:b/>
          <w:color w:val="000000"/>
          <w:sz w:val="24"/>
          <w:szCs w:val="24"/>
          <w:lang w:val="ru-RU"/>
        </w:rPr>
        <w:t>Раздел II</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Инструкцией установлено «Участник закупки указывает в заявке диапазон значений характеристики».</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Если заказчиком в «Описании объекта закупки» при описании значения характеристики используются следующие знаки, участником предоставляются значения, указанные ниже:</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 - участником представляется значение менее или равное установленному;</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 - участником представляется значение более или равное установленному;</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&lt; - участником представляется значение менее установленному;</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&gt; - участником представляется значение более установленному.</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В случае, если требование к значению характеристики установлено одновременно с применением нескольких слов/знаков из данного раздела, в том числе с использованием союза «и» (например: ≥Х &lt;Y, &gt;Х и ≤ Y и т.д.) и от участника в соответствии с положениями инструкции требуется предоставить диапазон значений характеристики, участник в заявке указывает значение диапазона соответствующее установленным  требованиям.</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При указании участником диапазонных значений характеристики могут быть использованы слова и знаки, если это допускается функционалом торговой площадки.</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r>
    </w:p>
    <w:p>
      <w:pPr>
        <w:pStyle w:val="Normal"/>
        <w:spacing w:beforeAutospacing="0" w:before="0" w:afterAutospacing="0" w:after="0"/>
        <w:ind w:firstLine="567"/>
        <w:jc w:val="center"/>
        <w:rPr>
          <w:rFonts w:ascii="PT Astra Serif" w:hAnsi="PT Astra Serif"/>
          <w:b/>
          <w:color w:val="000000"/>
          <w:sz w:val="24"/>
          <w:szCs w:val="24"/>
          <w:lang w:val="ru-RU"/>
        </w:rPr>
      </w:pPr>
      <w:r>
        <w:rPr>
          <w:rFonts w:ascii="PT Astra Serif" w:hAnsi="PT Astra Serif"/>
          <w:b/>
          <w:color w:val="000000"/>
          <w:sz w:val="24"/>
          <w:szCs w:val="24"/>
          <w:lang w:val="ru-RU"/>
        </w:rPr>
        <w:t>Раздел III</w:t>
      </w:r>
    </w:p>
    <w:p>
      <w:pPr>
        <w:pStyle w:val="Normal"/>
        <w:spacing w:beforeAutospacing="0" w:before="0" w:afterAutospacing="0" w:after="0"/>
        <w:ind w:firstLine="709"/>
        <w:jc w:val="both"/>
        <w:rPr>
          <w:rFonts w:ascii="PT Astra Serif" w:hAnsi="PT Astra Serif"/>
          <w:color w:val="000000"/>
          <w:sz w:val="24"/>
          <w:szCs w:val="24"/>
          <w:lang w:val="ru-RU"/>
        </w:rPr>
      </w:pPr>
      <w:r>
        <w:rPr>
          <w:rFonts w:ascii="PT Astra Serif" w:hAnsi="PT Astra Serif"/>
          <w:color w:val="000000"/>
          <w:sz w:val="24"/>
          <w:szCs w:val="24"/>
          <w:lang w:val="ru-RU"/>
        </w:rPr>
        <w:t xml:space="preserve">Инструкцией установлено «Участник закупки указывает в заявке только одно значение характеристики». </w:t>
      </w:r>
    </w:p>
    <w:p>
      <w:pPr>
        <w:pStyle w:val="Normal"/>
        <w:spacing w:beforeAutospacing="0" w:before="0" w:afterAutospacing="0" w:after="0"/>
        <w:ind w:firstLine="709"/>
        <w:jc w:val="both"/>
        <w:rPr>
          <w:rFonts w:ascii="PT Astra Serif" w:hAnsi="PT Astra Serif"/>
          <w:color w:val="000000"/>
          <w:sz w:val="24"/>
          <w:szCs w:val="24"/>
          <w:lang w:val="ru-RU"/>
        </w:rPr>
      </w:pPr>
      <w:r>
        <w:rPr>
          <w:rFonts w:ascii="PT Astra Serif" w:hAnsi="PT Astra Serif"/>
          <w:color w:val="000000"/>
          <w:sz w:val="24"/>
          <w:szCs w:val="24"/>
          <w:lang w:val="ru-RU"/>
        </w:rPr>
        <w:t>Если заказчик в «Описании объекта закупки» при описании значения характеристики использует перечисления значений характеристики с использованием союзов «или», «либо» - участники выбирают одно из значений.</w:t>
      </w:r>
    </w:p>
    <w:p>
      <w:pPr>
        <w:pStyle w:val="Normal"/>
        <w:spacing w:beforeAutospacing="0" w:before="0" w:afterAutospacing="0" w:after="0"/>
        <w:ind w:firstLine="709"/>
        <w:jc w:val="both"/>
        <w:rPr>
          <w:rFonts w:ascii="PT Astra Serif" w:hAnsi="PT Astra Serif"/>
          <w:color w:val="000000"/>
          <w:sz w:val="24"/>
          <w:szCs w:val="24"/>
          <w:lang w:val="ru-RU"/>
        </w:rPr>
      </w:pPr>
      <w:r>
        <w:rPr>
          <w:rFonts w:ascii="PT Astra Serif" w:hAnsi="PT Astra Serif"/>
          <w:color w:val="000000"/>
          <w:sz w:val="24"/>
          <w:szCs w:val="24"/>
          <w:lang w:val="ru-RU"/>
        </w:rPr>
      </w:r>
    </w:p>
    <w:p>
      <w:pPr>
        <w:pStyle w:val="Normal"/>
        <w:spacing w:beforeAutospacing="0" w:before="0" w:afterAutospacing="0" w:after="0"/>
        <w:ind w:firstLine="709"/>
        <w:jc w:val="center"/>
        <w:rPr>
          <w:rFonts w:ascii="PT Astra Serif" w:hAnsi="PT Astra Serif" w:eastAsia="Calibri"/>
          <w:b/>
          <w:sz w:val="24"/>
          <w:szCs w:val="24"/>
          <w:lang w:val="ru-RU"/>
        </w:rPr>
      </w:pPr>
      <w:r>
        <w:rPr>
          <w:rFonts w:eastAsia="Calibri" w:ascii="PT Astra Serif" w:hAnsi="PT Astra Serif"/>
          <w:b/>
          <w:sz w:val="24"/>
          <w:szCs w:val="24"/>
          <w:lang w:val="ru-RU"/>
        </w:rPr>
        <w:t>Раздел IV</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Инструкцией установлено «Участник закупки указывает в заявке одно или несколько значений характеристики».</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xml:space="preserve">Если заказчик в «Описании объекта закупки» при описании значения характеристики использует перечисления с союзами «и (или)» - участник предлагает одно или несколько значений (на свой выбор). </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При одновременном использовании знаков «,» и союзов «или», «либо» участник указывает все значения до союза «или», «либо» или значение, указанное после союза «или», «либо» (например: 1, 2, 3 или 4; участник предлагает: вариант1 – 1, 2, 3; вариант 2 – 4).</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r>
    </w:p>
    <w:p>
      <w:pPr>
        <w:pStyle w:val="Normal"/>
        <w:spacing w:beforeAutospacing="0" w:before="0" w:afterAutospacing="0" w:after="0"/>
        <w:ind w:firstLine="709"/>
        <w:jc w:val="center"/>
        <w:rPr>
          <w:rFonts w:ascii="PT Astra Serif" w:hAnsi="PT Astra Serif" w:eastAsia="Calibri"/>
          <w:b/>
          <w:sz w:val="24"/>
          <w:szCs w:val="24"/>
          <w:lang w:val="ru-RU"/>
        </w:rPr>
      </w:pPr>
      <w:r>
        <w:rPr>
          <w:rFonts w:eastAsia="Calibri" w:ascii="PT Astra Serif" w:hAnsi="PT Astra Serif"/>
          <w:b/>
          <w:sz w:val="24"/>
          <w:szCs w:val="24"/>
          <w:lang w:val="ru-RU"/>
        </w:rPr>
        <w:t xml:space="preserve">Раздел V </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Инструкцией установлено «Участник закупки указывает в заявке все значения характеристики»</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Если заказчик в «Описании объекта закупки» при описании значения характеристики использует перечисления через знаки «,», «;», «/», союз «и» участник закупки указывает в заявке все перечисленные значения.</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r>
    </w:p>
    <w:p>
      <w:pPr>
        <w:pStyle w:val="Normal"/>
        <w:spacing w:beforeAutospacing="0" w:before="0" w:afterAutospacing="0" w:after="0"/>
        <w:ind w:firstLine="709"/>
        <w:jc w:val="center"/>
        <w:rPr>
          <w:rFonts w:ascii="PT Astra Serif" w:hAnsi="PT Astra Serif" w:eastAsia="Calibri"/>
          <w:b/>
          <w:sz w:val="24"/>
          <w:szCs w:val="24"/>
          <w:lang w:val="ru-RU"/>
        </w:rPr>
      </w:pPr>
      <w:r>
        <w:rPr>
          <w:rFonts w:eastAsia="Calibri" w:ascii="PT Astra Serif" w:hAnsi="PT Astra Serif"/>
          <w:b/>
          <w:sz w:val="24"/>
          <w:szCs w:val="24"/>
          <w:lang w:val="ru-RU"/>
        </w:rPr>
        <w:t>Раздел VI</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xml:space="preserve">В случае установления Инструкцией «Значения характеристики не может изменяться участником». Участник закупки указывает в заявке значение характеристики в неизменном виде, независимо от значения слов и знаков, используемых Заказчиком в «описании объекта закупки». </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Значения показателей не должны допускать разночтения или двусмысленное толкование и содержать в т.ч. следующие слова (с учётом всех форм слов): «не более», «не менее», «не выше», «не ниже», «менее», «более», «должен», «должен быть», «превышает», «не превышает», «от», «до», «или», знаки: «&gt;», «≥», «≤», «&lt;», «±» и иные слова/знаки (за исключением случаев, установленных Инструкцией, при которых указанные слова/знаки являются частью неизменного показателя), то есть должны быть конкретными.</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Несоблюдение указанных требований является основанием для принятия комиссией решения о признании заявки участника не соответствующей требованиям, установленным настоящим извещением.</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r>
    </w:p>
    <w:p>
      <w:pPr>
        <w:pStyle w:val="Normal"/>
        <w:spacing w:beforeAutospacing="0" w:before="0" w:afterAutospacing="0" w:after="0"/>
        <w:ind w:firstLine="709"/>
        <w:jc w:val="both"/>
        <w:rPr>
          <w:rFonts w:ascii="PT Astra Serif" w:hAnsi="PT Astra Serif" w:eastAsia="Calibri"/>
          <w:sz w:val="16"/>
          <w:szCs w:val="16"/>
          <w:lang w:val="ru-RU"/>
        </w:rPr>
      </w:pPr>
      <w:r>
        <w:rPr>
          <w:rFonts w:eastAsia="Calibri" w:ascii="PT Astra Serif" w:hAnsi="PT Astra Serif"/>
          <w:sz w:val="16"/>
          <w:szCs w:val="16"/>
          <w:lang w:val="ru-RU"/>
        </w:rPr>
        <w:t>Примечание: В случаях, когда Заказчиком используются при описании объекта закупки иные обозначения (слова/знаки) необходимо их внести в соответствующий раздел и расшифровать порядок их применения.</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r>
    </w:p>
    <w:sectPr>
      <w:footerReference w:type="even" r:id="rId2"/>
      <w:footerReference w:type="default" r:id="rId3"/>
      <w:footerReference w:type="first" r:id="rId4"/>
      <w:type w:val="nextPage"/>
      <w:pgSz w:w="11906" w:h="16838"/>
      <w:pgMar w:left="1134" w:right="567" w:gutter="0" w:header="0" w:top="567" w:footer="720" w:bottom="777"/>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Tahoma">
    <w:charset w:val="01"/>
    <w:family w:val="swiss"/>
    <w:pitch w:val="variable"/>
  </w:font>
  <w:font w:name="Liberation Sans">
    <w:altName w:val="Arial"/>
    <w:charset w:val="01"/>
    <w:family w:val="swiss"/>
    <w:pitch w:val="variable"/>
  </w:font>
  <w:font w:name="PT Astra Serif">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535810757"/>
      <w:docPartObj>
        <w:docPartGallery w:val="Page Numbers (Bottom of Page)"/>
        <w:docPartUnique w:val="true"/>
      </w:docPartObj>
    </w:sdtPr>
    <w:sdtContent>
      <w:p>
        <w:pPr>
          <w:pStyle w:val="Footer"/>
          <w:spacing w:before="0" w:after="280"/>
          <w:jc w:val="center"/>
          <w:rPr/>
        </w:pPr>
        <w:r>
          <w:rPr/>
          <w:fldChar w:fldCharType="begin"/>
        </w:r>
        <w:r>
          <w:rPr/>
          <w:instrText xml:space="preserve"> PAGE </w:instrText>
        </w:r>
        <w:r>
          <w:rPr/>
          <w:fldChar w:fldCharType="separate"/>
        </w:r>
        <w:r>
          <w:rPr/>
          <w:t>7</w:t>
        </w:r>
        <w:r>
          <w:rPr/>
          <w:fldChar w:fldCharType="end"/>
        </w:r>
      </w:p>
    </w:sdtContent>
  </w:sdt>
  <w:p>
    <w:pPr>
      <w:pStyle w:val="Footer"/>
      <w:spacing w:before="0" w:after="28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535810757"/>
      <w:docPartObj>
        <w:docPartGallery w:val="Page Numbers (Bottom of Page)"/>
        <w:docPartUnique w:val="true"/>
      </w:docPartObj>
    </w:sdtPr>
    <w:sdtContent>
      <w:p>
        <w:pPr>
          <w:pStyle w:val="Footer"/>
          <w:spacing w:before="0" w:after="280"/>
          <w:jc w:val="center"/>
          <w:rPr/>
        </w:pPr>
        <w:r>
          <w:rPr/>
          <w:fldChar w:fldCharType="begin"/>
        </w:r>
        <w:r>
          <w:rPr/>
          <w:instrText xml:space="preserve"> PAGE </w:instrText>
        </w:r>
        <w:r>
          <w:rPr/>
          <w:fldChar w:fldCharType="separate"/>
        </w:r>
        <w:r>
          <w:rPr/>
          <w:t>7</w:t>
        </w:r>
        <w:r>
          <w:rPr/>
          <w:fldChar w:fldCharType="end"/>
        </w:r>
      </w:p>
    </w:sdtContent>
  </w:sdt>
  <w:p>
    <w:pPr>
      <w:pStyle w:val="Footer"/>
      <w:spacing w:before="0" w:after="280"/>
      <w:rPr/>
    </w:pPr>
    <w:r>
      <w:rPr/>
    </w:r>
  </w:p>
</w:ft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6d0956"/>
    <w:pPr>
      <w:widowControl/>
      <w:suppressAutoHyphens w:val="true"/>
      <w:bidi w:val="0"/>
      <w:spacing w:beforeAutospacing="1" w:afterAutospacing="1"/>
      <w:jc w:val="start"/>
    </w:pPr>
    <w:rPr>
      <w:rFonts w:ascii="Times New Roman" w:hAnsi="Times New Roman" w:eastAsia="Times New Roman" w:cs="Times New Roman"/>
      <w:color w:val="auto"/>
      <w:kern w:val="0"/>
      <w:sz w:val="22"/>
      <w:szCs w:val="22"/>
      <w:lang w:val="en-US" w:eastAsia="en-US" w:bidi="ar-SA"/>
    </w:rPr>
  </w:style>
  <w:style w:type="paragraph" w:styleId="Heading1">
    <w:name w:val="heading 1"/>
    <w:basedOn w:val="Normal"/>
    <w:next w:val="Normal"/>
    <w:link w:val="1"/>
    <w:uiPriority w:val="9"/>
    <w:qFormat/>
    <w:rsid w:val="00b73a5a"/>
    <w:pPr>
      <w:keepNext w:val="true"/>
      <w:keepLines/>
      <w:outlineLvl w:val="0"/>
    </w:pPr>
    <w:rPr>
      <w:rFonts w:ascii="Cambria" w:hAnsi="Cambria"/>
      <w:b/>
      <w:bCs/>
      <w:color w:val="365F91"/>
      <w:sz w:val="28"/>
      <w:szCs w:val="28"/>
    </w:rPr>
  </w:style>
  <w:style w:type="character" w:styleId="DefaultParagraphFont" w:default="1">
    <w:name w:val="Default Paragraph Font"/>
    <w:uiPriority w:val="1"/>
    <w:semiHidden/>
    <w:unhideWhenUsed/>
    <w:rPr/>
  </w:style>
  <w:style w:type="character" w:styleId="1" w:customStyle="1">
    <w:name w:val="Заголовок 1 Знак"/>
    <w:uiPriority w:val="9"/>
    <w:rsid w:val="00b73a5a"/>
    <w:rPr>
      <w:rFonts w:ascii="Cambria" w:hAnsi="Cambria" w:eastAsia="Times New Roman" w:cs="Times New Roman"/>
      <w:b/>
      <w:bCs/>
      <w:color w:val="365F91"/>
      <w:sz w:val="28"/>
      <w:szCs w:val="28"/>
    </w:rPr>
  </w:style>
  <w:style w:type="character" w:styleId="Hyperlink">
    <w:name w:val="Hyperlink"/>
    <w:uiPriority w:val="99"/>
    <w:unhideWhenUsed/>
    <w:rsid w:val="00b52f91"/>
    <w:rPr>
      <w:color w:val="0000FF"/>
      <w:u w:val="single"/>
    </w:rPr>
  </w:style>
  <w:style w:type="character" w:styleId="CommentReference">
    <w:name w:val="annotation reference"/>
    <w:uiPriority w:val="99"/>
    <w:semiHidden/>
    <w:unhideWhenUsed/>
    <w:rsid w:val="00d16a8a"/>
    <w:rPr>
      <w:sz w:val="16"/>
      <w:szCs w:val="16"/>
    </w:rPr>
  </w:style>
  <w:style w:type="character" w:styleId="Style13" w:customStyle="1">
    <w:name w:val="Текст примечания Знак"/>
    <w:uiPriority w:val="99"/>
    <w:semiHidden/>
    <w:rsid w:val="00d16a8a"/>
    <w:rPr>
      <w:sz w:val="20"/>
      <w:szCs w:val="20"/>
    </w:rPr>
  </w:style>
  <w:style w:type="character" w:styleId="Style14" w:customStyle="1">
    <w:name w:val="Тема примечания Знак"/>
    <w:link w:val="annotationsubject"/>
    <w:uiPriority w:val="99"/>
    <w:semiHidden/>
    <w:rsid w:val="00d16a8a"/>
    <w:rPr>
      <w:b/>
      <w:bCs/>
      <w:sz w:val="20"/>
      <w:szCs w:val="20"/>
    </w:rPr>
  </w:style>
  <w:style w:type="character" w:styleId="Style15" w:customStyle="1">
    <w:name w:val="Текст выноски Знак"/>
    <w:link w:val="BalloonText"/>
    <w:uiPriority w:val="99"/>
    <w:semiHidden/>
    <w:rsid w:val="00d16a8a"/>
    <w:rPr>
      <w:rFonts w:ascii="Tahoma" w:hAnsi="Tahoma" w:cs="Tahoma"/>
      <w:sz w:val="16"/>
      <w:szCs w:val="16"/>
    </w:rPr>
  </w:style>
  <w:style w:type="character" w:styleId="Style16" w:customStyle="1">
    <w:name w:val="Верхний колонтитул Знак"/>
    <w:basedOn w:val="DefaultParagraphFont"/>
    <w:uiPriority w:val="99"/>
    <w:rsid w:val="00457339"/>
    <w:rPr>
      <w:sz w:val="22"/>
      <w:szCs w:val="22"/>
      <w:lang w:val="en-US" w:eastAsia="en-US"/>
    </w:rPr>
  </w:style>
  <w:style w:type="character" w:styleId="Style17" w:customStyle="1">
    <w:name w:val="Нижний колонтитул Знак"/>
    <w:basedOn w:val="DefaultParagraphFont"/>
    <w:uiPriority w:val="99"/>
    <w:rsid w:val="00457339"/>
    <w:rPr>
      <w:sz w:val="22"/>
      <w:szCs w:val="22"/>
      <w:lang w:val="en-US" w:eastAsia="en-US"/>
    </w:rPr>
  </w:style>
  <w:style w:type="paragraph" w:styleId="Style18">
    <w:name w:val="Заголовок"/>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pPr>
      <w:suppressLineNumbers/>
      <w:spacing w:before="120" w:after="120"/>
    </w:pPr>
    <w:rPr>
      <w:rFonts w:cs="Lucida Sans"/>
      <w:i/>
      <w:iCs/>
      <w:sz w:val="24"/>
      <w:szCs w:val="24"/>
    </w:rPr>
  </w:style>
  <w:style w:type="paragraph" w:styleId="Style19">
    <w:name w:val="Указатель"/>
    <w:basedOn w:val="Normal"/>
    <w:pPr>
      <w:suppressLineNumbers/>
    </w:pPr>
    <w:rPr>
      <w:rFonts w:cs="Lucida Sans"/>
    </w:rPr>
  </w:style>
  <w:style w:type="paragraph" w:styleId="user">
    <w:name w:val="Заголовок (user)"/>
    <w:basedOn w:val="Normal"/>
    <w:next w:val="BodyText"/>
    <w:pPr>
      <w:keepNext w:val="true"/>
      <w:spacing w:before="240" w:after="120"/>
    </w:pPr>
    <w:rPr>
      <w:rFonts w:ascii="Liberation Sans" w:hAnsi="Liberation Sans" w:eastAsia="Microsoft YaHei" w:cs="Lucida Sans"/>
      <w:sz w:val="28"/>
      <w:szCs w:val="28"/>
    </w:rPr>
  </w:style>
  <w:style w:type="paragraph" w:styleId="user1">
    <w:name w:val="Указатель (user)"/>
    <w:basedOn w:val="Normal"/>
    <w:pPr>
      <w:suppressLineNumbers/>
    </w:pPr>
    <w:rPr>
      <w:rFonts w:cs="Lucida Sans"/>
    </w:rPr>
  </w:style>
  <w:style w:type="paragraph" w:styleId="CommentText">
    <w:name w:val="annotation text"/>
    <w:basedOn w:val="Normal"/>
    <w:link w:val="Style13"/>
    <w:uiPriority w:val="99"/>
    <w:semiHidden/>
    <w:unhideWhenUsed/>
    <w:rsid w:val="00d16a8a"/>
    <w:pPr/>
    <w:rPr>
      <w:sz w:val="20"/>
      <w:szCs w:val="20"/>
    </w:rPr>
  </w:style>
  <w:style w:type="paragraph" w:styleId="annotationsubject">
    <w:name w:val="annotation subject"/>
    <w:basedOn w:val="CommentText"/>
    <w:next w:val="CommentText"/>
    <w:link w:val="Style14"/>
    <w:uiPriority w:val="99"/>
    <w:semiHidden/>
    <w:unhideWhenUsed/>
    <w:rsid w:val="00d16a8a"/>
    <w:pPr/>
    <w:rPr>
      <w:b/>
      <w:bCs/>
    </w:rPr>
  </w:style>
  <w:style w:type="paragraph" w:styleId="BalloonText">
    <w:name w:val="Balloon Text"/>
    <w:basedOn w:val="Normal"/>
    <w:link w:val="Style15"/>
    <w:uiPriority w:val="99"/>
    <w:semiHidden/>
    <w:unhideWhenUsed/>
    <w:rsid w:val="00d16a8a"/>
    <w:pPr>
      <w:spacing w:before="0" w:after="0"/>
    </w:pPr>
    <w:rPr>
      <w:rFonts w:ascii="Tahoma" w:hAnsi="Tahoma" w:cs="Tahoma"/>
      <w:sz w:val="16"/>
      <w:szCs w:val="16"/>
    </w:rPr>
  </w:style>
  <w:style w:type="paragraph" w:styleId="Style20">
    <w:name w:val="Колонтитулы"/>
    <w:basedOn w:val="Normal"/>
    <w:pPr/>
    <w:rPr/>
  </w:style>
  <w:style w:type="paragraph" w:styleId="user2">
    <w:name w:val="Колонтитулы (user)"/>
    <w:basedOn w:val="Normal"/>
    <w:pPr/>
    <w:rPr/>
  </w:style>
  <w:style w:type="paragraph" w:styleId="Header">
    <w:name w:val="header"/>
    <w:basedOn w:val="Normal"/>
    <w:link w:val="Style16"/>
    <w:uiPriority w:val="99"/>
    <w:unhideWhenUsed/>
    <w:rsid w:val="00457339"/>
    <w:pPr>
      <w:tabs>
        <w:tab w:val="clear" w:pos="720"/>
        <w:tab w:val="center" w:pos="4677" w:leader="none"/>
        <w:tab w:val="right" w:pos="9355" w:leader="none"/>
      </w:tabs>
      <w:spacing w:before="0" w:after="0"/>
    </w:pPr>
    <w:rPr/>
  </w:style>
  <w:style w:type="paragraph" w:styleId="Footer">
    <w:name w:val="footer"/>
    <w:basedOn w:val="Normal"/>
    <w:link w:val="Style17"/>
    <w:uiPriority w:val="99"/>
    <w:unhideWhenUsed/>
    <w:rsid w:val="00457339"/>
    <w:pPr>
      <w:tabs>
        <w:tab w:val="clear" w:pos="720"/>
        <w:tab w:val="center" w:pos="4677" w:leader="none"/>
        <w:tab w:val="right" w:pos="9355" w:leader="none"/>
      </w:tabs>
      <w:spacing w:before="0" w:after="0"/>
    </w:pPr>
    <w:rPr/>
  </w:style>
  <w:style w:type="numbering" w:styleId="Style21" w:default="1">
    <w:name w:val="Без списка"/>
    <w:uiPriority w:val="99"/>
    <w:semiHidden/>
    <w:unhideWhenUsed/>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pitchFamily="0" charset="1"/>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42</TotalTime>
  <Application>LibreOffice/26.8.1.1$Windows_X86_64 LibreOffice_project/bf6ef2662401c7d6dce671ab4deb26ee0af3a7c1</Application>
  <AppVersion>15.0000</AppVersion>
  <Pages>7</Pages>
  <Words>2620</Words>
  <Characters>18821</Characters>
  <CharactersWithSpaces>21362</CharactersWithSpaces>
  <Paragraphs>96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2023-02-01T09:47:00Z</dcterms:created>
  <dc:creator>Козырева Ирина Владиславовна</dc:creator>
  <dc:description>Подготовлено экспертами Актион-МЦФЭР</dc:description>
  <dc:language>ru-RU</dc:language>
  <cp:lastModifiedBy/>
  <cp:lastPrinted>2026-10-28T14:31:43Z</cp:lastPrinted>
  <dcterms:modified xsi:type="dcterms:W3CDTF">2026-10-28T14:41:03Z</dcterms:modified>
  <cp:revision>23</cp:revision>
  <dc:subject/>
  <dc:title/>
</cp:coreProperties>
</file>

<file path=docProps/custom.xml><?xml version="1.0" encoding="utf-8"?>
<Properties xmlns="http://schemas.openxmlformats.org/officeDocument/2006/custom-properties" xmlns:vt="http://schemas.openxmlformats.org/officeDocument/2006/docPropsVTypes"/>
</file>